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3bis</w:t>
      </w:r>
      <w:r>
        <w:tab/>
      </w:r>
      <w:r>
        <w:rPr>
          <w:lang w:eastAsia="ja-JP"/>
        </w:rPr>
        <w:t>R3-2</w:t>
      </w:r>
      <w:r>
        <w:rPr>
          <w:rFonts w:hint="eastAsia" w:eastAsia="宋体"/>
          <w:lang w:val="en-US" w:eastAsia="zh-CN"/>
        </w:rPr>
        <w:t>41769</w:t>
      </w:r>
    </w:p>
    <w:p>
      <w:pPr>
        <w:pStyle w:val="118"/>
        <w:rPr>
          <w:rFonts w:hint="eastAsia" w:eastAsia="宋体"/>
          <w:lang w:eastAsia="zh-CN"/>
        </w:rPr>
      </w:pPr>
      <w:bookmarkStart w:id="2" w:name="_Hlk19781143"/>
      <w:r>
        <w:rPr>
          <w:rFonts w:hint="eastAsia" w:eastAsia="宋体"/>
          <w:szCs w:val="24"/>
          <w:lang w:val="en-US" w:eastAsia="zh-CN"/>
        </w:rPr>
        <w:t>Changsha</w:t>
      </w:r>
      <w:r>
        <w:rPr>
          <w:szCs w:val="24"/>
        </w:rPr>
        <w:t xml:space="preserve">, </w:t>
      </w:r>
      <w:r>
        <w:rPr>
          <w:rFonts w:hint="eastAsia" w:eastAsia="宋体"/>
          <w:szCs w:val="24"/>
          <w:lang w:val="en-US" w:eastAsia="zh-CN"/>
        </w:rPr>
        <w:t>China</w:t>
      </w:r>
      <w:r>
        <w:rPr>
          <w:szCs w:val="24"/>
        </w:rPr>
        <w:t xml:space="preserve">, </w:t>
      </w:r>
      <w:r>
        <w:rPr>
          <w:rFonts w:hint="eastAsia" w:eastAsia="宋体"/>
          <w:szCs w:val="24"/>
          <w:lang w:val="en-US" w:eastAsia="zh-CN"/>
        </w:rPr>
        <w:t>15</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19</w:t>
      </w:r>
      <w:r>
        <w:rPr>
          <w:rFonts w:hint="eastAsia" w:eastAsia="宋体"/>
          <w:vertAlign w:val="superscript"/>
          <w:lang w:val="en-US" w:eastAsia="zh-CN"/>
        </w:rPr>
        <w:t>th</w:t>
      </w:r>
      <w:r>
        <w:t xml:space="preserve"> </w:t>
      </w:r>
      <w:r>
        <w:rPr>
          <w:rFonts w:hint="eastAsia" w:eastAsia="宋体"/>
          <w:lang w:val="en-US" w:eastAsia="zh-CN"/>
        </w:rPr>
        <w:t>April</w:t>
      </w:r>
      <w:r>
        <w:t xml:space="preserve"> 202</w:t>
      </w:r>
      <w:r>
        <w:rPr>
          <w:rFonts w:hint="eastAsia" w:eastAsia="宋体"/>
          <w:lang w:val="en-US" w:eastAsia="zh-CN"/>
        </w:rPr>
        <w:t>4</w:t>
      </w:r>
    </w:p>
    <w:bookmarkEnd w:id="0"/>
    <w:bookmarkEnd w:id="2"/>
    <w:p>
      <w:pPr>
        <w:pStyle w:val="34"/>
        <w:rPr>
          <w:rFonts w:cs="Arial"/>
          <w:bCs/>
          <w:sz w:val="24"/>
          <w:lang w:eastAsia="ja-JP"/>
        </w:rPr>
      </w:pPr>
    </w:p>
    <w:p>
      <w:pPr>
        <w:pStyle w:val="34"/>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10.3.1</w:t>
      </w:r>
    </w:p>
    <w:p>
      <w:pPr>
        <w:pStyle w:val="89"/>
        <w:rPr>
          <w:rFonts w:hint="default" w:eastAsia="宋体"/>
          <w:lang w:val="en-US" w:eastAsia="zh-CN"/>
        </w:rPr>
      </w:pPr>
      <w:r>
        <w:t>Source:</w:t>
      </w:r>
      <w:r>
        <w:tab/>
      </w:r>
      <w:r>
        <w:rPr>
          <w:rFonts w:hint="eastAsia" w:eastAsia="宋体"/>
          <w:lang w:val="en-US" w:eastAsia="zh-CN"/>
        </w:rPr>
        <w:t>ZTE</w:t>
      </w:r>
    </w:p>
    <w:p>
      <w:pPr>
        <w:pStyle w:val="89"/>
        <w:ind w:left="1985" w:hanging="1985"/>
        <w:rPr>
          <w:rFonts w:hint="default"/>
          <w:lang w:val="en-US" w:eastAsia="ja-JP"/>
        </w:rPr>
      </w:pPr>
      <w:r>
        <w:t>Title:</w:t>
      </w:r>
      <w:r>
        <w:tab/>
      </w:r>
      <w:r>
        <w:rPr>
          <w:rFonts w:hint="eastAsia" w:eastAsia="宋体"/>
          <w:lang w:val="en-US" w:eastAsia="zh-CN"/>
        </w:rPr>
        <w:t>Initial Considerations on SON/MDT Enhancements for NTN</w:t>
      </w:r>
    </w:p>
    <w:p>
      <w:pPr>
        <w:pStyle w:val="89"/>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79"/>
        <w:ind w:left="0" w:firstLine="0"/>
        <w:rPr>
          <w:rFonts w:hint="default" w:ascii="Arial" w:hAnsi="Arial" w:cs="Arial"/>
          <w:color w:val="000000"/>
          <w:sz w:val="20"/>
          <w:szCs w:val="18"/>
          <w:lang w:val="en-US" w:eastAsia="zh-CN"/>
        </w:rPr>
      </w:pPr>
      <w:r>
        <w:rPr>
          <w:rFonts w:hint="default" w:ascii="Arial" w:hAnsi="Arial" w:cs="Arial"/>
          <w:color w:val="000000"/>
          <w:sz w:val="20"/>
          <w:szCs w:val="18"/>
          <w:lang w:val="en-US" w:eastAsia="zh-CN"/>
        </w:rPr>
        <w:t>The WID of Rel-1</w:t>
      </w:r>
      <w:r>
        <w:rPr>
          <w:rFonts w:hint="eastAsia" w:ascii="Arial" w:hAnsi="Arial" w:cs="Arial"/>
          <w:color w:val="000000"/>
          <w:sz w:val="20"/>
          <w:szCs w:val="18"/>
          <w:lang w:val="en-US" w:eastAsia="zh-CN"/>
        </w:rPr>
        <w:t>9</w:t>
      </w:r>
      <w:r>
        <w:rPr>
          <w:rFonts w:hint="default" w:ascii="Arial" w:hAnsi="Arial" w:cs="Arial"/>
          <w:color w:val="000000"/>
          <w:sz w:val="20"/>
          <w:szCs w:val="18"/>
          <w:lang w:val="en-US" w:eastAsia="zh-CN"/>
        </w:rPr>
        <w:t xml:space="preserve"> SON/MDT has been finalized in RAN#</w:t>
      </w:r>
      <w:r>
        <w:rPr>
          <w:rFonts w:hint="eastAsia" w:ascii="Arial" w:hAnsi="Arial" w:cs="Arial"/>
          <w:color w:val="000000"/>
          <w:sz w:val="20"/>
          <w:szCs w:val="18"/>
          <w:lang w:val="en-US" w:eastAsia="zh-CN"/>
        </w:rPr>
        <w:t>102 [1]</w:t>
      </w:r>
      <w:r>
        <w:rPr>
          <w:rFonts w:hint="default" w:ascii="Arial" w:hAnsi="Arial" w:cs="Arial"/>
          <w:color w:val="000000"/>
          <w:sz w:val="20"/>
          <w:szCs w:val="18"/>
          <w:lang w:val="en-US" w:eastAsia="zh-CN"/>
        </w:rPr>
        <w:t xml:space="preserve">, and the objectives of this work item </w:t>
      </w:r>
      <w:r>
        <w:rPr>
          <w:rFonts w:hint="eastAsia" w:ascii="Arial" w:hAnsi="Arial" w:cs="Arial"/>
          <w:color w:val="000000"/>
          <w:sz w:val="20"/>
          <w:szCs w:val="18"/>
          <w:lang w:val="en-US" w:eastAsia="zh-CN"/>
        </w:rPr>
        <w:t>are</w:t>
      </w:r>
      <w:r>
        <w:rPr>
          <w:rFonts w:hint="default" w:ascii="Arial" w:hAnsi="Arial" w:cs="Arial"/>
          <w:color w:val="000000"/>
          <w:sz w:val="20"/>
          <w:szCs w:val="18"/>
          <w:lang w:val="en-US" w:eastAsia="zh-CN"/>
        </w:rPr>
        <w:t xml:space="preserve"> shown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line="280" w:lineRule="atLeast"/>
              <w:rPr>
                <w:rFonts w:ascii="Times New Roman" w:hAnsi="Times New Roman" w:eastAsia="宋体" w:cs="Times New Roman"/>
              </w:rPr>
            </w:pPr>
            <w:bookmarkStart w:id="3" w:name="OLE_LINK35"/>
            <w:r>
              <w:rPr>
                <w:rFonts w:ascii="Times New Roman" w:hAnsi="Times New Roman" w:eastAsia="宋体" w:cs="Times New Roman"/>
              </w:rPr>
              <w:t xml:space="preserve">The objective of this work item is to specify </w:t>
            </w:r>
            <w:r>
              <w:rPr>
                <w:rFonts w:hint="eastAsia" w:ascii="Times New Roman" w:hAnsi="Times New Roman" w:eastAsia="宋体" w:cs="Times New Roman"/>
              </w:rPr>
              <w:t xml:space="preserve">data collection enhancement in NR </w:t>
            </w:r>
            <w:r>
              <w:rPr>
                <w:rFonts w:ascii="Times New Roman" w:hAnsi="Times New Roman" w:eastAsia="宋体" w:cs="Times New Roman"/>
              </w:rPr>
              <w:t>standalone and MR-DC for SON/MDT purpose</w:t>
            </w:r>
            <w:r>
              <w:rPr>
                <w:rFonts w:hint="eastAsia" w:ascii="Times New Roman" w:hAnsi="Times New Roman" w:eastAsia="宋体" w:cs="Times New Roman"/>
              </w:rPr>
              <w:t xml:space="preserve">. </w:t>
            </w:r>
            <w:r>
              <w:rPr>
                <w:rFonts w:ascii="Times New Roman" w:hAnsi="Times New Roman" w:eastAsia="宋体" w:cs="Times New Roman"/>
              </w:rPr>
              <w:t>The specific objectives of this work item are:</w:t>
            </w:r>
          </w:p>
          <w:p>
            <w:pPr>
              <w:spacing w:before="120" w:line="280" w:lineRule="atLeast"/>
              <w:rPr>
                <w:rFonts w:ascii="Times New Roman" w:hAnsi="Times New Roman" w:eastAsia="宋体" w:cs="Times New Roman"/>
              </w:rPr>
            </w:pPr>
            <w:bookmarkStart w:id="4" w:name="OLE_LINK31"/>
            <w:bookmarkStart w:id="5" w:name="OLE_LINK17"/>
            <w:r>
              <w:rPr>
                <w:rFonts w:ascii="Times New Roman" w:hAnsi="Times New Roman" w:eastAsia="宋体" w:cs="Times New Roman"/>
              </w:rPr>
              <w:t>- MRO enhancement for R18 mobility mechanisms, including</w:t>
            </w:r>
            <w:r>
              <w:rPr>
                <w:rFonts w:hint="eastAsia" w:ascii="Times New Roman" w:hAnsi="Times New Roman" w:cs="Times New Roman"/>
              </w:rPr>
              <w:t xml:space="preserve">, </w:t>
            </w:r>
            <w:r>
              <w:rPr>
                <w:rFonts w:ascii="Times New Roman" w:hAnsi="Times New Roman" w:eastAsia="宋体" w:cs="Times New Roman"/>
              </w:rPr>
              <w:t>Lower layer triggered mobility (LTM), CHO with candidate SCGs, subsequent CPAC [RAN3, RAN2]:</w:t>
            </w:r>
          </w:p>
          <w:p>
            <w:pPr>
              <w:pStyle w:val="126"/>
              <w:numPr>
                <w:ilvl w:val="0"/>
                <w:numId w:val="1"/>
              </w:numPr>
              <w:spacing w:before="120" w:line="280" w:lineRule="atLeast"/>
              <w:rPr>
                <w:rFonts w:ascii="Times New Roman" w:hAnsi="Times New Roman" w:eastAsia="宋体" w:cs="Times New Roman"/>
              </w:rPr>
            </w:pPr>
            <w:r>
              <w:rPr>
                <w:rFonts w:ascii="Times New Roman" w:hAnsi="Times New Roman" w:eastAsia="宋体" w:cs="Times New Roman"/>
              </w:rPr>
              <w:t>Specification of the inter-node information exchange, including possible enhancements to interfaces [RAN3]</w:t>
            </w:r>
          </w:p>
          <w:p>
            <w:pPr>
              <w:pStyle w:val="126"/>
              <w:numPr>
                <w:ilvl w:val="0"/>
                <w:numId w:val="1"/>
              </w:numPr>
              <w:spacing w:before="120" w:line="280" w:lineRule="atLeast"/>
              <w:rPr>
                <w:rFonts w:ascii="Times New Roman" w:hAnsi="Times New Roman" w:eastAsia="宋体" w:cs="Times New Roman"/>
              </w:rPr>
            </w:pPr>
            <w:r>
              <w:rPr>
                <w:rFonts w:hint="eastAsia" w:ascii="Times New Roman" w:hAnsi="Times New Roman" w:eastAsia="宋体" w:cs="Times New Roman"/>
              </w:rPr>
              <w:t>Identify and specify necessary UE reporting to enhance the mobility parameter tuning</w:t>
            </w:r>
            <w:r>
              <w:rPr>
                <w:rFonts w:ascii="Times New Roman" w:hAnsi="Times New Roman" w:eastAsia="宋体" w:cs="Times New Roman"/>
              </w:rPr>
              <w:t> [RAN2]</w:t>
            </w:r>
          </w:p>
          <w:bookmarkEnd w:id="4"/>
          <w:p>
            <w:pPr>
              <w:spacing w:before="120" w:line="280" w:lineRule="atLeast"/>
              <w:rPr>
                <w:rFonts w:ascii="Times New Roman" w:hAnsi="Times New Roman" w:eastAsia="宋体" w:cs="Times New Roman"/>
              </w:rPr>
            </w:pPr>
            <w:r>
              <w:rPr>
                <w:rFonts w:hint="eastAsia" w:ascii="Times New Roman" w:hAnsi="Times New Roman" w:eastAsia="宋体" w:cs="Times New Roman"/>
              </w:rPr>
              <w:t>- Support of SON/MDT enhancements for [RAN3, RAN2]:</w:t>
            </w:r>
          </w:p>
          <w:p>
            <w:pPr>
              <w:pStyle w:val="126"/>
              <w:numPr>
                <w:ilvl w:val="0"/>
                <w:numId w:val="1"/>
              </w:numPr>
              <w:spacing w:before="120" w:line="280" w:lineRule="atLeast"/>
              <w:rPr>
                <w:rFonts w:ascii="Times New Roman" w:hAnsi="Times New Roman" w:eastAsia="宋体" w:cs="Times New Roman"/>
              </w:rPr>
            </w:pPr>
            <w:r>
              <w:rPr>
                <w:rFonts w:hint="eastAsia" w:ascii="Times New Roman" w:hAnsi="Times New Roman" w:eastAsia="宋体" w:cs="Times New Roman"/>
              </w:rPr>
              <w:t>Intra-NTN mobility</w:t>
            </w:r>
          </w:p>
          <w:p>
            <w:pPr>
              <w:pStyle w:val="126"/>
              <w:numPr>
                <w:ilvl w:val="0"/>
                <w:numId w:val="1"/>
              </w:numPr>
              <w:spacing w:before="120" w:line="280" w:lineRule="atLeast"/>
              <w:rPr>
                <w:rFonts w:ascii="Times New Roman" w:hAnsi="Times New Roman" w:eastAsia="宋体" w:cs="Times New Roman"/>
              </w:rPr>
            </w:pPr>
            <w:r>
              <w:rPr>
                <w:rFonts w:hint="eastAsia" w:ascii="Times New Roman" w:hAnsi="Times New Roman" w:eastAsia="宋体" w:cs="Times New Roman"/>
              </w:rPr>
              <w:t>Network Slicing</w:t>
            </w:r>
          </w:p>
          <w:bookmarkEnd w:id="5"/>
          <w:p>
            <w:pPr>
              <w:spacing w:before="120" w:line="280" w:lineRule="atLeast"/>
              <w:rPr>
                <w:rFonts w:ascii="Times New Roman" w:hAnsi="Times New Roman" w:eastAsia="宋体" w:cs="Times New Roman"/>
              </w:rPr>
            </w:pPr>
            <w:r>
              <w:rPr>
                <w:rFonts w:hint="eastAsia" w:ascii="Times New Roman" w:hAnsi="Times New Roman" w:eastAsia="宋体" w:cs="Times New Roman"/>
              </w:rPr>
              <w:t>- Support of the leftovers in Rel-18 SON/MDT [RAN3, RAN2]:</w:t>
            </w:r>
          </w:p>
          <w:p>
            <w:pPr>
              <w:numPr>
                <w:ilvl w:val="0"/>
                <w:numId w:val="2"/>
              </w:numPr>
              <w:spacing w:before="120" w:line="280" w:lineRule="atLeast"/>
              <w:rPr>
                <w:rFonts w:ascii="Times New Roman" w:hAnsi="Times New Roman" w:eastAsia="宋体" w:cs="Times New Roman"/>
              </w:rPr>
            </w:pPr>
            <w:r>
              <w:rPr>
                <w:rFonts w:ascii="Times New Roman" w:hAnsi="Times New Roman" w:eastAsia="宋体" w:cs="Times New Roman"/>
              </w:rPr>
              <w:t>RACH optimization for SDT</w:t>
            </w:r>
          </w:p>
          <w:p>
            <w:pPr>
              <w:numPr>
                <w:ilvl w:val="0"/>
                <w:numId w:val="2"/>
              </w:numPr>
              <w:spacing w:before="120" w:line="280" w:lineRule="atLeast"/>
              <w:rPr>
                <w:rFonts w:ascii="Times New Roman" w:hAnsi="Times New Roman" w:eastAsia="宋体" w:cs="Times New Roman"/>
              </w:rPr>
            </w:pPr>
            <w:r>
              <w:rPr>
                <w:rFonts w:ascii="Times New Roman" w:hAnsi="Times New Roman" w:eastAsia="宋体" w:cs="Times New Roman"/>
              </w:rPr>
              <w:t>MHI Enhancement for SCG Deactivation/Activation</w:t>
            </w:r>
          </w:p>
          <w:p>
            <w:pPr>
              <w:pStyle w:val="126"/>
              <w:numPr>
                <w:ilvl w:val="0"/>
                <w:numId w:val="2"/>
              </w:numPr>
              <w:spacing w:before="120" w:line="280" w:lineRule="atLeast"/>
              <w:rPr>
                <w:rFonts w:ascii="Times New Roman" w:hAnsi="Times New Roman" w:eastAsia="宋体" w:cs="Times New Roman"/>
              </w:rPr>
            </w:pPr>
            <w:r>
              <w:rPr>
                <w:rFonts w:ascii="Times New Roman" w:hAnsi="Times New Roman" w:eastAsia="宋体" w:cs="Times New Roman"/>
              </w:rPr>
              <w:t>MRO for MR-DC SCG failure</w:t>
            </w:r>
          </w:p>
          <w:p>
            <w:pPr>
              <w:spacing w:before="120" w:line="280" w:lineRule="atLeast"/>
              <w:rPr>
                <w:rFonts w:hint="default" w:ascii="Arial" w:hAnsi="Arial" w:cs="Arial"/>
                <w:color w:val="000000"/>
                <w:sz w:val="20"/>
                <w:szCs w:val="18"/>
                <w:vertAlign w:val="baseline"/>
                <w:lang w:val="en-US" w:eastAsia="zh-CN"/>
              </w:rPr>
            </w:pPr>
            <w:r>
              <w:rPr>
                <w:rFonts w:ascii="Times New Roman" w:hAnsi="Times New Roman" w:eastAsia="宋体" w:cs="Times New Roman"/>
              </w:rPr>
              <w:t>If needed, co-operate with RAN1, SA2, SA5, CT4.</w:t>
            </w:r>
            <w:bookmarkEnd w:id="3"/>
          </w:p>
        </w:tc>
      </w:tr>
    </w:tbl>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initial considerations on the SON/MDT enhancements for intra-NTN mobility in Rel-19.</w:t>
      </w:r>
    </w:p>
    <w:p>
      <w:pPr>
        <w:pStyle w:val="2"/>
        <w:bidi w:val="0"/>
        <w:rPr>
          <w:rFonts w:hint="eastAsia"/>
          <w:lang w:val="en-US" w:eastAsia="zh-CN"/>
        </w:rPr>
      </w:pPr>
      <w:r>
        <w:rPr>
          <w:rFonts w:hint="eastAsia"/>
          <w:lang w:val="en-US" w:eastAsia="zh-CN"/>
        </w:rPr>
        <w:t>2  Discussion</w:t>
      </w:r>
    </w:p>
    <w:p>
      <w:pPr>
        <w:rPr>
          <w:rFonts w:hint="eastAsia" w:ascii="Arial" w:hAnsi="Arial" w:cs="Arial"/>
          <w:sz w:val="20"/>
          <w:szCs w:val="20"/>
          <w:lang w:val="en-US" w:eastAsia="zh-CN"/>
        </w:rPr>
      </w:pPr>
      <w:r>
        <w:rPr>
          <w:rFonts w:hint="eastAsia" w:ascii="Arial" w:hAnsi="Arial" w:cs="Arial"/>
          <w:sz w:val="20"/>
          <w:szCs w:val="20"/>
          <w:lang w:val="en-US" w:eastAsia="zh-CN"/>
        </w:rPr>
        <w:t>The NTN has been introduced since Rel-17 as a new feature in NR, it can provide much larger area coverage than the traditional TN and ensure the connectivity in the regions where the current TN is difficult to cover, such as the airplanes, vessels and other remote rural areas. In Rel-17 and Rel-18 phases, only NTN with transparent payload is supported, and the satellite or airborne vehicle performs as a relay node between the UE and the base station. While, in the upcoming Rel-19 phase, the NTN with regenerative payload will be supported, and the satellite or airborne vehicle shall act as a base station in the wireless communication system.</w:t>
      </w:r>
    </w:p>
    <w:p>
      <w:pPr>
        <w:rPr>
          <w:rFonts w:hint="default" w:ascii="Arial" w:hAnsi="Arial" w:cs="Arial"/>
          <w:sz w:val="20"/>
          <w:szCs w:val="20"/>
          <w:lang w:val="en-US" w:eastAsia="zh-CN"/>
        </w:rPr>
      </w:pPr>
      <w:r>
        <w:rPr>
          <w:rFonts w:hint="eastAsia" w:ascii="Arial" w:hAnsi="Arial" w:cs="Arial"/>
          <w:sz w:val="20"/>
          <w:szCs w:val="20"/>
          <w:lang w:val="en-US" w:eastAsia="zh-CN"/>
        </w:rPr>
        <w:t>However, as usual, SON/MDT enhancements should be discussed based on the progress of the specific feature introduced in the previous release. For example, CPAC was introduced in Mobility Enhancements WI in Rel-17, and the corresponding MRO enhancement in Rel-18 was discussed without involving the further enhancement on CPAC in Rel-18 (i.e. subsequent CPAC). To follow the basic principle, the discussion of SON/MDT enhancements for intra-NTN mobility in Rel-19 should follow the progress of NTN in Rel-17 and Rel-18. Therefore, only the NTN with transparent payload should be taken as the baseline for the discussion in Rel-19 SON/MDT WI.</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1: In Rel-19, SON/MDT enhancements only focus on Rel-17 and Rel-18 NTN, i.e. Rel-19 NTN is out of scope. </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rPr>
          <w:rFonts w:hint="eastAsia" w:ascii="Arial" w:hAnsi="Arial" w:cs="Arial"/>
          <w:sz w:val="20"/>
          <w:szCs w:val="20"/>
          <w:lang w:val="en-US" w:eastAsia="zh-CN"/>
        </w:rPr>
      </w:pPr>
      <w:r>
        <w:rPr>
          <w:rFonts w:hint="eastAsia" w:ascii="Arial" w:hAnsi="Arial" w:cs="Arial"/>
          <w:sz w:val="20"/>
          <w:szCs w:val="20"/>
          <w:lang w:val="en-US" w:eastAsia="zh-CN"/>
        </w:rPr>
        <w:t>Furthermore, in the previous releases, both NR NTN and IoT NTN were introduced for the NTN topics. Considering the corresponding SON/MDT enhancements, it is reasonable to discuss the intra-NTN mobility for both NR NTN and IoT NTN as well.</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2: In Rel-19, both NR NTN and IoT NTN should be considered in the SON/MDT enhancements for intra-NTN mobility. </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Since there are many different topics in SON/MDT enhancements, such as MRO, MLB, RACH Optimization, CCO and SHR, RAN3 should focus on the topics related to intra-NTN mobility in Rel-19, e.g., MRO, MLB and SHR. Considering the usage of NTN communication, there are too many UEs served within the NTN cell, the critical requirement of NTN is the coverage and connectivity rather than the service quality and time delay. Therefore, the load balance may not be a critical issue needs to be optimized, and the MLB enhancement could be de-prioritized in Rel-19. While, for NTN, it is important to keep the connectivity of UEs and avoid potential radio link failure during the intra-NTN handover. Thus, the MRO should be discussed with high priority in Rel-19. In addition, since the SHR can be regarded as the complementary solution of MRO, it could be discussed as well.</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3: In Rel-19, MRO and SHR enhancement for intra-NTN mobility should be treated with high priority.</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rPr>
          <w:rFonts w:hint="eastAsia" w:ascii="Arial" w:hAnsi="Arial" w:cs="Arial"/>
          <w:sz w:val="20"/>
          <w:szCs w:val="20"/>
          <w:lang w:val="en-US" w:eastAsia="zh-CN"/>
        </w:rPr>
      </w:pPr>
      <w:r>
        <w:rPr>
          <w:rFonts w:hint="eastAsia" w:ascii="Arial" w:hAnsi="Arial" w:cs="Arial"/>
          <w:sz w:val="20"/>
          <w:szCs w:val="20"/>
          <w:lang w:val="en-US" w:eastAsia="zh-CN"/>
        </w:rPr>
        <w:t xml:space="preserve">Regarding the MRO enhancements for intra-NTN mobility, since the NTN communication is tolerant of time delay, the timers related to the RLF report could be redefined or extended. </w:t>
      </w:r>
    </w:p>
    <w:p>
      <w:r>
        <w:drawing>
          <wp:inline distT="0" distB="0" distL="114300" distR="114300">
            <wp:extent cx="6706235" cy="2265045"/>
            <wp:effectExtent l="0" t="0" r="184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706235" cy="2265045"/>
                    </a:xfrm>
                    <a:prstGeom prst="rect">
                      <a:avLst/>
                    </a:prstGeom>
                    <a:noFill/>
                    <a:ln>
                      <a:noFill/>
                    </a:ln>
                  </pic:spPr>
                </pic:pic>
              </a:graphicData>
            </a:graphic>
          </wp:inline>
        </w:drawing>
      </w:r>
    </w:p>
    <w:p>
      <w:pPr>
        <w:rPr>
          <w:rFonts w:hint="default" w:ascii="Arial" w:hAnsi="Arial" w:cs="Arial"/>
          <w:sz w:val="20"/>
          <w:szCs w:val="20"/>
          <w:lang w:val="en-US" w:eastAsia="zh-CN"/>
        </w:rPr>
      </w:pPr>
      <w:r>
        <w:rPr>
          <w:rFonts w:hint="eastAsia" w:ascii="Arial" w:hAnsi="Arial" w:cs="Arial"/>
          <w:sz w:val="20"/>
          <w:szCs w:val="20"/>
          <w:lang w:val="en-US" w:eastAsia="zh-CN"/>
        </w:rPr>
        <w:t>Taking the T311 as an example, in current RRC specification, the maximum value of this timer is 30000ms, i.e., 30 seconds. For NTN scenario, the time delay may exceed 30 seconds, and this timer may be needed to extended to support the delay-tolerant services.</w:t>
      </w:r>
    </w:p>
    <w:p>
      <w:r>
        <w:rPr>
          <w:rFonts w:hint="eastAsia" w:ascii="Arial" w:hAnsi="Arial" w:cs="Arial"/>
          <w:sz w:val="20"/>
          <w:szCs w:val="20"/>
          <w:lang w:val="en-US" w:eastAsia="zh-CN"/>
        </w:rPr>
        <w:t>In addition, the new cause value for the radio link failure could be introduced to match the NTN related scenarios.</w:t>
      </w:r>
    </w:p>
    <w:p>
      <w:pPr>
        <w:rPr>
          <w:rFonts w:hint="default" w:ascii="Arial" w:hAnsi="Arial" w:cs="Arial"/>
          <w:sz w:val="20"/>
          <w:szCs w:val="20"/>
          <w:lang w:val="en-US" w:eastAsia="zh-CN"/>
        </w:rPr>
      </w:pPr>
      <w:r>
        <w:rPr>
          <w:rFonts w:hint="eastAsia" w:ascii="Arial" w:hAnsi="Arial" w:cs="Arial"/>
          <w:sz w:val="20"/>
          <w:szCs w:val="20"/>
          <w:lang w:val="en-US" w:eastAsia="zh-CN"/>
        </w:rPr>
        <w:t>While, the details of NTN related RLF report should be discussed in RAN2 rather than RAN3. Similar issues in SHR could be also considered. Anyway, our RAN3 should send a LS to RAN2 on our RAN3</w:t>
      </w:r>
      <w:r>
        <w:rPr>
          <w:rFonts w:hint="default" w:ascii="Arial" w:hAnsi="Arial" w:cs="Arial"/>
          <w:sz w:val="20"/>
          <w:szCs w:val="20"/>
          <w:lang w:val="en-US" w:eastAsia="zh-CN"/>
        </w:rPr>
        <w:t>’</w:t>
      </w:r>
      <w:r>
        <w:rPr>
          <w:rFonts w:hint="eastAsia" w:ascii="Arial" w:hAnsi="Arial" w:cs="Arial"/>
          <w:sz w:val="20"/>
          <w:szCs w:val="20"/>
          <w:lang w:val="en-US" w:eastAsia="zh-CN"/>
        </w:rPr>
        <w:t>s understanding.</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4: An LS on the requirement of RLF report and SHR for NTN should be sent to RAN2.</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Back to the RAN3 issue, since the NG based handover between the NTN base stations should be applied in case of no X2/Xn interface between the NTN base stations, some existing MRO mechanisms only supported over X2/Xn should be also applied over S1/NG</w:t>
      </w:r>
      <w:r>
        <w:rPr>
          <w:rFonts w:hint="eastAsia" w:ascii="Arial" w:hAnsi="Arial" w:cs="Arial"/>
          <w:sz w:val="20"/>
          <w:szCs w:val="20"/>
          <w:highlight w:val="none"/>
          <w:lang w:val="en-US" w:eastAsia="zh-CN"/>
        </w:rPr>
        <w:t>, e.g., the missing part, the transfer of assistance information for RRC Re-establishment reporting without RLF report. And t</w:t>
      </w:r>
      <w:r>
        <w:rPr>
          <w:rFonts w:hint="eastAsia" w:ascii="Arial" w:hAnsi="Arial" w:cs="Arial"/>
          <w:sz w:val="20"/>
          <w:szCs w:val="20"/>
          <w:lang w:val="en-US" w:eastAsia="zh-CN"/>
        </w:rPr>
        <w:t>he details could be discussed later.</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 xml:space="preserve">Proposal 5: RAN3 shall consider the MRO feature over X2/Xn which is missing over S1/NG for intra-NTN mobility, e.g., </w:t>
      </w:r>
      <w:r>
        <w:rPr>
          <w:rFonts w:hint="eastAsia" w:ascii="Arial" w:hAnsi="Arial" w:cs="Arial"/>
          <w:b/>
          <w:bCs/>
          <w:sz w:val="20"/>
          <w:szCs w:val="20"/>
          <w:highlight w:val="none"/>
          <w:lang w:val="en-US" w:eastAsia="zh-CN"/>
        </w:rPr>
        <w:t xml:space="preserve">the </w:t>
      </w:r>
      <w:r>
        <w:rPr>
          <w:rFonts w:hint="eastAsia" w:cs="Arial"/>
          <w:b/>
          <w:bCs/>
          <w:sz w:val="20"/>
          <w:szCs w:val="20"/>
          <w:highlight w:val="none"/>
          <w:lang w:val="en-US" w:eastAsia="zh-CN"/>
        </w:rPr>
        <w:t xml:space="preserve">transfer of the </w:t>
      </w:r>
      <w:r>
        <w:rPr>
          <w:rFonts w:hint="eastAsia" w:ascii="Arial" w:hAnsi="Arial" w:cs="Arial"/>
          <w:b/>
          <w:bCs/>
          <w:sz w:val="20"/>
          <w:szCs w:val="20"/>
          <w:highlight w:val="none"/>
          <w:lang w:val="en-US" w:eastAsia="zh-CN"/>
        </w:rPr>
        <w:t>assistance information for RRC Re-establishment reporting without RLF report.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 xml:space="preserve">Since the key functionality for NTN is to provide the coverage in some specific scenarios, the MDT enhancements should also be discussed with high priority. The NTN cell provides much larger coverage area than the TN cell and it may cover the area of multiple countries, the existing granularity of </w:t>
      </w:r>
      <w:r>
        <w:rPr>
          <w:rFonts w:hint="eastAsia" w:ascii="Arial" w:hAnsi="Arial" w:cs="Arial"/>
          <w:sz w:val="20"/>
          <w:szCs w:val="20"/>
          <w:highlight w:val="none"/>
          <w:lang w:val="en-US" w:eastAsia="zh-CN"/>
        </w:rPr>
        <w:t>area scope</w:t>
      </w:r>
      <w:r>
        <w:rPr>
          <w:rFonts w:hint="eastAsia" w:ascii="Arial" w:hAnsi="Arial" w:cs="Arial"/>
          <w:sz w:val="20"/>
          <w:szCs w:val="20"/>
          <w:lang w:val="en-US" w:eastAsia="zh-CN"/>
        </w:rPr>
        <w:t xml:space="preserve"> for MDT may be not sufficient, and the new granularity needs to be introduced to configure the NTN related MDT.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cs="Arial"/>
          <w:sz w:val="20"/>
          <w:szCs w:val="20"/>
          <w:lang w:val="en-US" w:eastAsia="zh-CN"/>
        </w:rPr>
      </w:pPr>
      <w:r>
        <w:rPr>
          <w:rFonts w:hint="eastAsia"/>
          <w:b/>
          <w:bCs/>
          <w:sz w:val="20"/>
          <w:szCs w:val="20"/>
          <w:lang w:val="en-US" w:eastAsia="zh-CN"/>
        </w:rPr>
        <w:t>Proposal 6: In Rel-19, the discussion on MDT enhancements for NTN should be prioritized.</w:t>
      </w:r>
    </w:p>
    <w:p>
      <w:pPr>
        <w:pStyle w:val="2"/>
        <w:ind w:left="0" w:leftChars="0" w:firstLine="0" w:firstLineChars="0"/>
        <w:rPr>
          <w:lang w:val="en-US"/>
        </w:rPr>
      </w:pPr>
      <w:r>
        <w:rPr>
          <w:rFonts w:hint="eastAsia"/>
          <w:lang w:val="en-US" w:eastAsia="zh-CN"/>
        </w:rPr>
        <w:t>3  Conclusion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1: In Rel-19, only the SON/MDT enhancements for NTN with transparent payload should be considered. </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宋体" w:cs="Arial"/>
          <w:i w:val="0"/>
          <w:iCs w:val="0"/>
          <w:caps w:val="0"/>
          <w:color w:val="000000"/>
          <w:spacing w:val="0"/>
          <w:sz w:val="20"/>
          <w:szCs w:val="20"/>
          <w:shd w:val="clear" w:fill="FFFFFF"/>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2: In Rel-19, both NR NTN and IoT NTN should be considered in the SON/MDT enhancements for intra-NTN mobility. </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3: In Rel-19, MRO and SHR enhancement for intra-NTN mobility should be treated with high priority.</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4: An LS on the requirement of RLF report and SHR for NTN should be sent to RAN2.</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 xml:space="preserve">Proposal 5: RAN3 shall consider the MRO feature over X2/Xn which is missing over S1/NG for intra-NTN mobility, e.g., </w:t>
      </w:r>
      <w:r>
        <w:rPr>
          <w:rFonts w:hint="eastAsia" w:ascii="Arial" w:hAnsi="Arial" w:cs="Arial"/>
          <w:b/>
          <w:bCs/>
          <w:sz w:val="20"/>
          <w:szCs w:val="20"/>
          <w:highlight w:val="none"/>
          <w:lang w:val="en-US" w:eastAsia="zh-CN"/>
        </w:rPr>
        <w:t xml:space="preserve">the </w:t>
      </w:r>
      <w:r>
        <w:rPr>
          <w:rFonts w:hint="eastAsia" w:cs="Arial"/>
          <w:b/>
          <w:bCs/>
          <w:sz w:val="20"/>
          <w:szCs w:val="20"/>
          <w:highlight w:val="none"/>
          <w:lang w:val="en-US" w:eastAsia="zh-CN"/>
        </w:rPr>
        <w:t xml:space="preserve">transfer of the </w:t>
      </w:r>
      <w:r>
        <w:rPr>
          <w:rFonts w:hint="eastAsia" w:ascii="Arial" w:hAnsi="Arial" w:cs="Arial"/>
          <w:b/>
          <w:bCs/>
          <w:sz w:val="20"/>
          <w:szCs w:val="20"/>
          <w:highlight w:val="none"/>
          <w:lang w:val="en-US" w:eastAsia="zh-CN"/>
        </w:rPr>
        <w:t>assistance information for RRC Re-establishment reporting without RLF report.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cs="Arial"/>
          <w:sz w:val="20"/>
          <w:szCs w:val="20"/>
          <w:lang w:val="en-US" w:eastAsia="zh-CN"/>
        </w:rPr>
      </w:pPr>
      <w:r>
        <w:rPr>
          <w:rFonts w:hint="eastAsia"/>
          <w:b/>
          <w:bCs/>
          <w:sz w:val="20"/>
          <w:szCs w:val="20"/>
          <w:lang w:val="en-US" w:eastAsia="zh-CN"/>
        </w:rPr>
        <w:t>Proposal 6: In Rel-19, the discussion on MDT enhancements for NTN should be prioritized.</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spacing w:after="0"/>
        <w:rPr>
          <w:rFonts w:hint="eastAsia"/>
          <w:b w:val="0"/>
          <w:bCs w:val="0"/>
          <w:sz w:val="21"/>
          <w:szCs w:val="21"/>
          <w:lang w:val="en-US" w:eastAsia="zh-CN"/>
        </w:rPr>
      </w:pPr>
      <w:r>
        <w:rPr>
          <w:rFonts w:hint="eastAsia"/>
          <w:b w:val="0"/>
          <w:bCs w:val="0"/>
          <w:sz w:val="21"/>
          <w:szCs w:val="21"/>
          <w:lang w:val="en-US" w:eastAsia="zh-CN"/>
        </w:rPr>
        <w:t>The corresponding LS is given in the Annex.</w:t>
      </w:r>
    </w:p>
    <w:p>
      <w:pPr>
        <w:pStyle w:val="2"/>
        <w:rPr>
          <w:rFonts w:cs="Arial"/>
          <w:lang w:val="en-US" w:eastAsia="zh-CN"/>
        </w:rPr>
      </w:pPr>
      <w:r>
        <w:rPr>
          <w:rFonts w:cs="Arial"/>
          <w:lang w:val="en-US"/>
        </w:rPr>
        <w:t>References</w:t>
      </w:r>
    </w:p>
    <w:p>
      <w:pPr>
        <w:numPr>
          <w:ilvl w:val="0"/>
          <w:numId w:val="3"/>
        </w:numPr>
        <w:ind w:left="284" w:hanging="284" w:hangingChars="142"/>
        <w:rPr>
          <w:rFonts w:hint="default" w:ascii="Arial" w:hAnsi="Arial" w:cs="Arial"/>
          <w:szCs w:val="15"/>
          <w:lang w:val="en-US" w:eastAsia="zh-CN"/>
        </w:rPr>
      </w:pPr>
      <w:bookmarkStart w:id="6" w:name="OLE_LINK1"/>
      <w:r>
        <w:rPr>
          <w:rFonts w:hint="eastAsia" w:ascii="Arial" w:hAnsi="Arial" w:cs="Arial"/>
          <w:szCs w:val="15"/>
          <w:lang w:val="en-US" w:eastAsia="zh-CN"/>
        </w:rPr>
        <w:t xml:space="preserve">RP-234038, New WID: Data collection for SON (Self-Organising Networks)/MDT (Minimization of Drive Tests) in NR standalone and MR-DC (Multi-Radio Dual Connectivity) Phase 4, </w:t>
      </w:r>
      <w:bookmarkEnd w:id="6"/>
      <w:r>
        <w:rPr>
          <w:rFonts w:hint="eastAsia" w:ascii="Arial" w:hAnsi="Arial" w:cs="Arial"/>
          <w:szCs w:val="15"/>
          <w:lang w:val="en-US" w:eastAsia="zh-CN"/>
        </w:rPr>
        <w:t>CMCC</w:t>
      </w:r>
    </w:p>
    <w:p>
      <w:pPr>
        <w:numPr>
          <w:ilvl w:val="0"/>
          <w:numId w:val="3"/>
        </w:numPr>
        <w:ind w:left="284" w:hanging="284" w:hangingChars="142"/>
        <w:rPr>
          <w:rFonts w:hint="default" w:ascii="Arial" w:hAnsi="Arial" w:cs="Arial"/>
          <w:szCs w:val="15"/>
          <w:lang w:val="en-US" w:eastAsia="zh-CN"/>
        </w:rPr>
      </w:pPr>
      <w:r>
        <w:rPr>
          <w:rFonts w:hint="eastAsia" w:ascii="Arial" w:hAnsi="Arial" w:cs="Arial"/>
          <w:szCs w:val="15"/>
          <w:lang w:val="en-US" w:eastAsia="zh-CN"/>
        </w:rPr>
        <w:t>TS 38.331 v18.0.0</w:t>
      </w:r>
    </w:p>
    <w:p>
      <w:pPr>
        <w:pStyle w:val="2"/>
        <w:rPr>
          <w:rFonts w:hint="eastAsia" w:eastAsia="宋体" w:cs="Arial"/>
          <w:lang w:val="en-US" w:eastAsia="zh-CN"/>
        </w:rPr>
      </w:pPr>
      <w:r>
        <w:rPr>
          <w:rFonts w:hint="eastAsia" w:eastAsia="宋体" w:cs="Arial"/>
          <w:lang w:val="en-US" w:eastAsia="zh-CN"/>
        </w:rPr>
        <w:t>Annex</w:t>
      </w:r>
    </w:p>
    <w:p>
      <w:pPr>
        <w:pStyle w:val="118"/>
        <w:rPr>
          <w:rFonts w:hint="default" w:eastAsia="宋体"/>
          <w:lang w:val="en-US" w:eastAsia="zh-CN"/>
        </w:rPr>
      </w:pPr>
      <w:r>
        <w:t>3GPP TSG-</w:t>
      </w:r>
      <w:r>
        <w:rPr>
          <w:szCs w:val="24"/>
        </w:rPr>
        <w:t>RAN WG3 Meeting #12</w:t>
      </w:r>
      <w:r>
        <w:rPr>
          <w:rFonts w:hint="eastAsia" w:eastAsia="宋体"/>
          <w:szCs w:val="24"/>
          <w:lang w:val="en-US" w:eastAsia="zh-CN"/>
        </w:rPr>
        <w:t>3bis</w:t>
      </w:r>
      <w:r>
        <w:tab/>
      </w:r>
      <w:r>
        <w:rPr>
          <w:lang w:eastAsia="ja-JP"/>
        </w:rPr>
        <w:t>R3-2</w:t>
      </w:r>
      <w:r>
        <w:rPr>
          <w:rFonts w:hint="eastAsia" w:eastAsia="宋体"/>
          <w:lang w:val="en-US" w:eastAsia="zh-CN"/>
        </w:rPr>
        <w:t>4xxxx</w:t>
      </w:r>
    </w:p>
    <w:p>
      <w:pPr>
        <w:pStyle w:val="118"/>
        <w:rPr>
          <w:rFonts w:hint="eastAsia" w:eastAsia="宋体"/>
          <w:lang w:eastAsia="zh-CN"/>
        </w:rPr>
      </w:pPr>
      <w:r>
        <w:rPr>
          <w:rFonts w:hint="eastAsia" w:eastAsia="宋体"/>
          <w:szCs w:val="24"/>
          <w:lang w:val="en-US" w:eastAsia="zh-CN"/>
        </w:rPr>
        <w:t>Changsha</w:t>
      </w:r>
      <w:r>
        <w:rPr>
          <w:szCs w:val="24"/>
        </w:rPr>
        <w:t xml:space="preserve">, </w:t>
      </w:r>
      <w:r>
        <w:rPr>
          <w:rFonts w:hint="eastAsia" w:eastAsia="宋体"/>
          <w:szCs w:val="24"/>
          <w:lang w:val="en-US" w:eastAsia="zh-CN"/>
        </w:rPr>
        <w:t>China</w:t>
      </w:r>
      <w:r>
        <w:rPr>
          <w:szCs w:val="24"/>
        </w:rPr>
        <w:t xml:space="preserve">, </w:t>
      </w:r>
      <w:r>
        <w:rPr>
          <w:rFonts w:hint="eastAsia" w:eastAsia="宋体"/>
          <w:lang w:val="en-US" w:eastAsia="zh-CN"/>
        </w:rPr>
        <w:t>15</w:t>
      </w:r>
      <w:r>
        <w:rPr>
          <w:rFonts w:hint="eastAsia" w:eastAsia="宋体"/>
          <w:vertAlign w:val="superscript"/>
          <w:lang w:val="en-US" w:eastAsia="zh-CN"/>
        </w:rPr>
        <w:t>th</w:t>
      </w:r>
      <w:r>
        <w:t xml:space="preserve"> – </w:t>
      </w:r>
      <w:r>
        <w:rPr>
          <w:rFonts w:hint="eastAsia" w:eastAsia="宋体"/>
          <w:lang w:val="en-US" w:eastAsia="zh-CN"/>
        </w:rPr>
        <w:t>19</w:t>
      </w:r>
      <w:r>
        <w:rPr>
          <w:vertAlign w:val="superscript"/>
        </w:rPr>
        <w:t>th</w:t>
      </w:r>
      <w:r>
        <w:t xml:space="preserve"> </w:t>
      </w:r>
      <w:r>
        <w:rPr>
          <w:rFonts w:hint="eastAsia" w:eastAsia="宋体"/>
          <w:lang w:val="en-US" w:eastAsia="zh-CN"/>
        </w:rPr>
        <w:t>April</w:t>
      </w:r>
      <w:r>
        <w:t xml:space="preserve"> 202</w:t>
      </w:r>
      <w:r>
        <w:rPr>
          <w:rFonts w:hint="eastAsia" w:eastAsia="宋体"/>
          <w:lang w:val="en-US" w:eastAsia="zh-CN"/>
        </w:rPr>
        <w:t>4</w:t>
      </w:r>
    </w:p>
    <w:p>
      <w:pPr>
        <w:pStyle w:val="34"/>
        <w:rPr>
          <w:rFonts w:cs="Arial"/>
          <w:bCs/>
          <w:sz w:val="24"/>
          <w:lang w:eastAsia="ja-JP"/>
        </w:rPr>
      </w:pPr>
    </w:p>
    <w:p>
      <w:pPr>
        <w:pStyle w:val="34"/>
        <w:rPr>
          <w:rFonts w:cs="Arial"/>
          <w:bCs/>
          <w:sz w:val="24"/>
          <w:lang w:eastAsia="ja-JP"/>
        </w:rPr>
      </w:pPr>
    </w:p>
    <w:p>
      <w:pPr>
        <w:spacing w:after="60"/>
        <w:ind w:left="1985" w:hanging="1985"/>
        <w:rPr>
          <w:rFonts w:hint="default" w:ascii="Arial" w:hAnsi="Arial" w:cs="Arial"/>
          <w:b/>
          <w:bCs/>
          <w:lang w:val="en-US"/>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[Draft] </w:t>
      </w:r>
      <w:r>
        <w:rPr>
          <w:rFonts w:ascii="Arial" w:hAnsi="Arial" w:cs="Arial"/>
          <w:b/>
          <w:bCs/>
          <w:lang w:val="en-US"/>
        </w:rPr>
        <w:t xml:space="preserve">LS on </w:t>
      </w:r>
      <w:r>
        <w:rPr>
          <w:rFonts w:hint="eastAsia" w:ascii="Arial" w:hAnsi="Arial" w:cs="Arial"/>
          <w:b/>
          <w:bCs/>
          <w:lang w:val="en-US" w:eastAsia="zh-CN"/>
        </w:rPr>
        <w:t>SON/MDT enhancements for intra-NTN mobility</w:t>
      </w:r>
    </w:p>
    <w:p>
      <w:pPr>
        <w:spacing w:after="60"/>
        <w:ind w:left="1985" w:hanging="1985"/>
        <w:rPr>
          <w:rFonts w:hint="default" w:ascii="Arial" w:hAnsi="Arial" w:cs="Arial"/>
          <w:b/>
          <w:bCs/>
          <w:lang w:val="en-US" w:eastAsia="zh-CN"/>
        </w:rPr>
      </w:pPr>
      <w:r>
        <w:rPr>
          <w:rFonts w:hint="eastAsia" w:ascii="Arial" w:hAnsi="Arial" w:eastAsia="宋体" w:cs="Arial"/>
          <w:b/>
          <w:lang w:val="en-US" w:eastAsia="zh-CN"/>
        </w:rPr>
        <w:t>Response to</w:t>
      </w:r>
      <w:r>
        <w:rPr>
          <w:rFonts w:ascii="Arial" w:hAnsi="Arial" w:cs="Arial"/>
          <w:b/>
        </w:rPr>
        <w:t>:</w:t>
      </w:r>
      <w:r>
        <w:rPr>
          <w:rFonts w:ascii="Arial" w:hAnsi="Arial" w:cs="Arial"/>
          <w:b/>
        </w:rPr>
        <w:tab/>
      </w:r>
      <w:r>
        <w:rPr>
          <w:rFonts w:hint="eastAsia" w:ascii="Arial" w:hAnsi="Arial" w:cs="Arial"/>
          <w:b/>
          <w:bCs/>
          <w:lang w:val="en-US" w:eastAsia="zh-CN"/>
        </w:rPr>
        <w:t>N/A</w:t>
      </w:r>
    </w:p>
    <w:p>
      <w:pPr>
        <w:spacing w:after="60"/>
        <w:ind w:left="1985" w:hanging="1985"/>
        <w:rPr>
          <w:rFonts w:hint="eastAsia" w:ascii="Arial" w:hAnsi="Arial" w:eastAsia="宋体" w:cs="Arial"/>
          <w:b/>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hint="eastAsia" w:ascii="Arial" w:hAnsi="Arial" w:eastAsia="宋体" w:cs="Arial"/>
          <w:b/>
          <w:bCs/>
          <w:lang w:val="en-US" w:eastAsia="zh-CN"/>
        </w:rPr>
        <w:t>9</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eastAsia="Times New Roman" w:cs="Arial"/>
          <w:b/>
          <w:bCs/>
          <w:lang w:val="en-US" w:eastAsia="en-US"/>
        </w:rPr>
        <w:t>NR_ENDC_SON_MDT_Ph4-Core</w:t>
      </w:r>
    </w:p>
    <w:p>
      <w:pPr>
        <w:spacing w:after="60"/>
        <w:ind w:left="1985" w:hanging="1985"/>
        <w:rPr>
          <w:rFonts w:ascii="Arial" w:hAnsi="Arial" w:cs="Arial"/>
          <w:b/>
          <w:color w:val="000000"/>
        </w:rPr>
      </w:pPr>
    </w:p>
    <w:p>
      <w:pPr>
        <w:pStyle w:val="122"/>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2"/>
        <w:rPr>
          <w:lang w:val="en-US" w:eastAsia="zh-CN"/>
        </w:rPr>
      </w:pPr>
      <w:r>
        <w:rPr>
          <w:color w:val="000000"/>
        </w:rPr>
        <w:t>To:</w:t>
      </w:r>
      <w:r>
        <w:rPr>
          <w:color w:val="000000"/>
        </w:rPr>
        <w:tab/>
      </w:r>
      <w:r>
        <w:rPr>
          <w:rFonts w:hint="eastAsia"/>
          <w:lang w:val="en-US" w:eastAsia="zh-CN"/>
        </w:rPr>
        <w:t>RAN2</w:t>
      </w:r>
    </w:p>
    <w:p>
      <w:pPr>
        <w:spacing w:after="60"/>
        <w:ind w:left="1985" w:hanging="1985"/>
        <w:rPr>
          <w:rFonts w:ascii="Arial" w:hAnsi="Arial" w:cs="Arial"/>
          <w:color w:val="000000"/>
        </w:rPr>
      </w:pPr>
      <w:r>
        <w:rPr>
          <w:rFonts w:ascii="Arial" w:hAnsi="Arial" w:cs="Arial"/>
          <w:b/>
          <w:color w:val="000000"/>
        </w:rPr>
        <w:t>Cc:</w:t>
      </w:r>
      <w:r>
        <w:rPr>
          <w:rFonts w:ascii="Arial" w:hAnsi="Arial" w:cs="Arial"/>
          <w:b/>
          <w:color w:val="000000"/>
        </w:rPr>
        <w:tab/>
      </w:r>
      <w:r>
        <w:rPr>
          <w:rFonts w:ascii="Arial" w:hAnsi="Arial" w:cs="Arial"/>
          <w:b/>
          <w:color w:val="000000"/>
        </w:rPr>
        <w:t>N/A</w:t>
      </w:r>
    </w:p>
    <w:p>
      <w:pPr>
        <w:pStyle w:val="122"/>
        <w:rPr>
          <w:color w:val="000000"/>
        </w:rPr>
      </w:pPr>
    </w:p>
    <w:p>
      <w:pPr>
        <w:spacing w:after="60"/>
        <w:ind w:left="1985" w:hanging="1985"/>
        <w:rPr>
          <w:rFonts w:ascii="Arial" w:hAnsi="Arial" w:cs="Arial"/>
          <w:bCs/>
          <w:color w:val="000000"/>
        </w:rPr>
      </w:pPr>
      <w:r>
        <w:rPr>
          <w:rFonts w:ascii="Arial" w:hAnsi="Arial" w:cs="Arial"/>
          <w:b/>
        </w:rPr>
        <w:t>Contact Person:</w:t>
      </w:r>
    </w:p>
    <w:p>
      <w:pPr>
        <w:pStyle w:val="123"/>
        <w:numPr>
          <w:ilvl w:val="3"/>
          <w:numId w:val="4"/>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3"/>
        <w:numPr>
          <w:ilvl w:val="3"/>
          <w:numId w:val="4"/>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8"/>
          <w:rFonts w:cs="Arial"/>
        </w:rPr>
        <w:t>mailto:3GPPLiaison@etsi.org</w:t>
      </w:r>
      <w:r>
        <w:rPr>
          <w:rStyle w:val="48"/>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rPr>
          <w:rFonts w:ascii="Arial" w:hAnsi="Arial" w:cs="Arial"/>
        </w:rPr>
      </w:pPr>
    </w:p>
    <w:p>
      <w:pPr>
        <w:numPr>
          <w:ilvl w:val="0"/>
          <w:numId w:val="5"/>
        </w:numPr>
        <w:spacing w:after="120"/>
        <w:rPr>
          <w:rFonts w:ascii="Arial" w:hAnsi="Arial" w:cs="Arial"/>
          <w:b/>
        </w:rPr>
      </w:pPr>
      <w:r>
        <w:rPr>
          <w:rFonts w:ascii="Arial" w:hAnsi="Arial" w:cs="Arial"/>
          <w:b/>
        </w:rPr>
        <w:t>Overall Description:</w:t>
      </w:r>
    </w:p>
    <w:p>
      <w:pPr>
        <w:pStyle w:val="34"/>
        <w:rPr>
          <w:rFonts w:hint="eastAsia" w:eastAsia="宋体" w:cs="Arial"/>
          <w:b w:val="0"/>
          <w:sz w:val="20"/>
          <w:lang w:val="en-US" w:eastAsia="zh-CN" w:bidi="ar-SA"/>
        </w:rPr>
      </w:pPr>
      <w:r>
        <w:rPr>
          <w:rFonts w:ascii="Arial" w:hAnsi="Arial" w:eastAsia="Times New Roman" w:cs="Arial"/>
          <w:b w:val="0"/>
          <w:sz w:val="20"/>
          <w:lang w:val="en-GB" w:eastAsia="en-US" w:bidi="ar-SA"/>
        </w:rPr>
        <w:t xml:space="preserve">RAN3 has discussed the scope of the work related to the support of SON/MDT enhancements </w:t>
      </w:r>
      <w:r>
        <w:rPr>
          <w:rFonts w:hint="eastAsia" w:eastAsia="宋体" w:cs="Arial"/>
          <w:b w:val="0"/>
          <w:sz w:val="20"/>
          <w:lang w:val="en-US" w:eastAsia="zh-CN" w:bidi="ar-SA"/>
        </w:rPr>
        <w:t xml:space="preserve">for intra-NTN mobility </w:t>
      </w:r>
      <w:r>
        <w:rPr>
          <w:rFonts w:ascii="Arial" w:hAnsi="Arial" w:eastAsia="Times New Roman" w:cs="Arial"/>
          <w:b w:val="0"/>
          <w:sz w:val="20"/>
          <w:lang w:val="en-GB" w:eastAsia="en-US" w:bidi="ar-SA"/>
        </w:rPr>
        <w:t>and identified t</w:t>
      </w:r>
      <w:r>
        <w:rPr>
          <w:rFonts w:hint="eastAsia" w:eastAsia="宋体" w:cs="Arial"/>
          <w:b w:val="0"/>
          <w:sz w:val="20"/>
          <w:lang w:val="en-US" w:eastAsia="zh-CN" w:bidi="ar-SA"/>
        </w:rPr>
        <w:t>he following issue RAN2 may need to support:</w:t>
      </w:r>
    </w:p>
    <w:p>
      <w:pPr>
        <w:pStyle w:val="34"/>
        <w:rPr>
          <w:rFonts w:hint="eastAsia" w:eastAsia="宋体" w:cs="Arial"/>
          <w:b w:val="0"/>
          <w:sz w:val="20"/>
          <w:lang w:val="en-US" w:eastAsia="zh-CN" w:bidi="ar-SA"/>
        </w:rPr>
      </w:pPr>
    </w:p>
    <w:p>
      <w:pPr>
        <w:pStyle w:val="34"/>
        <w:numPr>
          <w:ilvl w:val="0"/>
          <w:numId w:val="0"/>
        </w:numPr>
        <w:rPr>
          <w:rFonts w:hint="default" w:eastAsia="宋体" w:cs="Arial"/>
          <w:b w:val="0"/>
          <w:sz w:val="20"/>
          <w:lang w:val="en-US" w:eastAsia="zh-CN" w:bidi="ar-SA"/>
        </w:rPr>
      </w:pPr>
      <w:r>
        <w:rPr>
          <w:rFonts w:hint="eastAsia" w:eastAsia="宋体" w:cs="Arial"/>
          <w:b w:val="0"/>
          <w:sz w:val="20"/>
          <w:lang w:val="en-US" w:eastAsia="zh-CN" w:bidi="ar-SA"/>
        </w:rPr>
        <w:t>The refinement of RLF report and SHR report used for intra-NTN mobility, including the corresponding timer and cause value.</w:t>
      </w:r>
      <w:bookmarkStart w:id="7" w:name="_GoBack"/>
      <w:bookmarkEnd w:id="7"/>
    </w:p>
    <w:p>
      <w:pPr>
        <w:rPr>
          <w:rFonts w:hint="default" w:eastAsia="宋体" w:cs="等线"/>
          <w:b/>
          <w:bCs/>
          <w:lang w:val="en-US" w:eastAsia="zh-CN"/>
        </w:rPr>
      </w:pPr>
      <w:r>
        <w:rPr>
          <w:rFonts w:hint="eastAsia" w:eastAsia="宋体" w:cs="等线"/>
          <w:b/>
          <w:bCs/>
          <w:lang w:val="en-US" w:eastAsia="zh-CN"/>
        </w:rPr>
        <w:t xml:space="preserve">  </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RAN2</w:t>
      </w:r>
      <w:r>
        <w:rPr>
          <w:rFonts w:ascii="Arial" w:hAnsi="Arial" w:cs="Arial"/>
          <w:b/>
        </w:rPr>
        <w:t xml:space="preserve"> group.</w:t>
      </w:r>
    </w:p>
    <w:p>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hint="eastAsia" w:ascii="Arial" w:hAnsi="Arial" w:eastAsia="宋体" w:cs="Arial"/>
          <w:lang w:val="en-US" w:eastAsia="zh-CN"/>
        </w:rPr>
        <w:t>RAN3 kindly asks RAN2 to take the above into consideration and to start analysis on possible Uu impacts.</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hint="default" w:ascii="Arial" w:hAnsi="Arial" w:eastAsia="宋体" w:cs="Arial"/>
          <w:szCs w:val="15"/>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24</w:t>
      </w:r>
      <w:r>
        <w:rPr>
          <w:rFonts w:ascii="Arial" w:hAnsi="Arial" w:cs="Arial"/>
          <w:bCs/>
          <w:lang w:val="en-US" w:eastAsia="zh-CN"/>
        </w:rPr>
        <w:t xml:space="preserve">     </w:t>
      </w:r>
      <w:r>
        <w:rPr>
          <w:rFonts w:hint="eastAsia" w:ascii="Arial" w:hAnsi="Arial" w:cs="Arial"/>
          <w:bCs/>
          <w:lang w:val="en-US" w:eastAsia="zh-CN"/>
        </w:rPr>
        <w:t>20</w:t>
      </w:r>
      <w:r>
        <w:rPr>
          <w:rFonts w:ascii="Arial" w:hAnsi="Arial" w:eastAsia="Wingdings" w:cs="Calibri Light"/>
          <w:bCs/>
          <w:vertAlign w:val="superscript"/>
        </w:rPr>
        <w:t>th</w:t>
      </w:r>
      <w:r>
        <w:rPr>
          <w:rFonts w:ascii="Arial" w:hAnsi="Arial" w:eastAsia="Wingdings" w:cs="Calibri Light"/>
          <w:bCs/>
        </w:rPr>
        <w:t xml:space="preserve"> – </w:t>
      </w:r>
      <w:r>
        <w:rPr>
          <w:rFonts w:hint="eastAsia" w:ascii="Arial" w:hAnsi="Arial" w:cs="Arial"/>
          <w:bCs/>
          <w:lang w:val="en-US" w:eastAsia="zh-CN"/>
        </w:rPr>
        <w:t>24</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May</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4</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Fukuoka</w:t>
      </w:r>
      <w:r>
        <w:rPr>
          <w:rFonts w:hint="eastAsia" w:ascii="Arial" w:hAnsi="Arial" w:cs="Arial"/>
        </w:rPr>
        <w:t xml:space="preserve">, </w:t>
      </w:r>
      <w:r>
        <w:rPr>
          <w:rFonts w:hint="eastAsia" w:ascii="Arial" w:hAnsi="Arial" w:eastAsia="宋体" w:cs="Arial"/>
          <w:lang w:val="en-US" w:eastAsia="zh-CN"/>
        </w:rPr>
        <w:t>Japan</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4">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1428"/>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B6410D"/>
    <w:rsid w:val="04AF3F3E"/>
    <w:rsid w:val="06372CC4"/>
    <w:rsid w:val="093150BB"/>
    <w:rsid w:val="09740087"/>
    <w:rsid w:val="0A1E5028"/>
    <w:rsid w:val="0E3136E6"/>
    <w:rsid w:val="0EB605BF"/>
    <w:rsid w:val="0EC05A14"/>
    <w:rsid w:val="0F16768D"/>
    <w:rsid w:val="13792BAA"/>
    <w:rsid w:val="15A20725"/>
    <w:rsid w:val="16CE0C48"/>
    <w:rsid w:val="171B6E71"/>
    <w:rsid w:val="17293D03"/>
    <w:rsid w:val="1A0466FB"/>
    <w:rsid w:val="1A9B3954"/>
    <w:rsid w:val="1C2D35B9"/>
    <w:rsid w:val="1D155476"/>
    <w:rsid w:val="21285BC2"/>
    <w:rsid w:val="229C0FCD"/>
    <w:rsid w:val="23082C82"/>
    <w:rsid w:val="23545058"/>
    <w:rsid w:val="25B72A8C"/>
    <w:rsid w:val="26A22470"/>
    <w:rsid w:val="27405070"/>
    <w:rsid w:val="28637FC4"/>
    <w:rsid w:val="2CE25BA2"/>
    <w:rsid w:val="2F223451"/>
    <w:rsid w:val="30CB3834"/>
    <w:rsid w:val="315B4657"/>
    <w:rsid w:val="315E1A2C"/>
    <w:rsid w:val="3213537B"/>
    <w:rsid w:val="343C414D"/>
    <w:rsid w:val="3508037E"/>
    <w:rsid w:val="35210BF3"/>
    <w:rsid w:val="367F46EA"/>
    <w:rsid w:val="36DB3FDE"/>
    <w:rsid w:val="3A5B0F85"/>
    <w:rsid w:val="3CB536C8"/>
    <w:rsid w:val="3D3E6E28"/>
    <w:rsid w:val="3D903463"/>
    <w:rsid w:val="3E313BCA"/>
    <w:rsid w:val="3EB90BDA"/>
    <w:rsid w:val="41497E94"/>
    <w:rsid w:val="42B31359"/>
    <w:rsid w:val="434C78FE"/>
    <w:rsid w:val="469938F6"/>
    <w:rsid w:val="493D64F1"/>
    <w:rsid w:val="4A1178ED"/>
    <w:rsid w:val="51AC1FE5"/>
    <w:rsid w:val="5A8D75A7"/>
    <w:rsid w:val="5BA31801"/>
    <w:rsid w:val="5CE93BF4"/>
    <w:rsid w:val="5ECD7994"/>
    <w:rsid w:val="619940E5"/>
    <w:rsid w:val="62B9609B"/>
    <w:rsid w:val="656E746E"/>
    <w:rsid w:val="656F1C10"/>
    <w:rsid w:val="669069E8"/>
    <w:rsid w:val="679378BF"/>
    <w:rsid w:val="68441265"/>
    <w:rsid w:val="688D6F0D"/>
    <w:rsid w:val="6970652E"/>
    <w:rsid w:val="6B2A73F3"/>
    <w:rsid w:val="6B9F2C01"/>
    <w:rsid w:val="6BFA4652"/>
    <w:rsid w:val="6E3A0B0C"/>
    <w:rsid w:val="6E9640E8"/>
    <w:rsid w:val="70A873E0"/>
    <w:rsid w:val="71F11DC7"/>
    <w:rsid w:val="75CB674E"/>
    <w:rsid w:val="76541BA8"/>
    <w:rsid w:val="7AF23CD6"/>
    <w:rsid w:val="7B13784B"/>
    <w:rsid w:val="7B722DAC"/>
    <w:rsid w:val="7C0C40B8"/>
    <w:rsid w:val="7C821B55"/>
    <w:rsid w:val="7CD948A7"/>
    <w:rsid w:val="7D3B4375"/>
    <w:rsid w:val="7E80318C"/>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6">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12</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2024-04-08T11:45:55Z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6BF5D17692804673B3F674088B590121</vt:lpwstr>
  </property>
</Properties>
</file>